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0" w:lineRule="atLeast"/>
        <w:ind w:left="0" w:right="0" w:firstLine="0"/>
        <w:jc w:val="center"/>
      </w:pP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</w:rPr>
        <w:t>GB17051-1997《二次供水设施卫生规范》</w:t>
      </w:r>
    </w:p>
    <w:tbl>
      <w:tblPr>
        <w:tblStyle w:val="5"/>
        <w:tblpPr w:leftFromText="180" w:rightFromText="180" w:vertAnchor="text" w:horzAnchor="page" w:tblpX="644" w:tblpY="1296"/>
        <w:tblOverlap w:val="never"/>
        <w:tblW w:w="11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40"/>
        <w:gridCol w:w="2325"/>
        <w:gridCol w:w="4260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紫外线强度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紫外线强度测量方法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二次供水设施卫生规范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GB17051-1997附录A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色度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铂-钴标准比色法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感官性状和物理指标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GB/T5750.4-2006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浊度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散射法-福尔马肼标准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感官性状和物理指标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GB/T5750.4-2006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嗅味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嗅气和尝味法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感官性状和物理指标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GB/T5750.4-2006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肉眼可见物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直接观察法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感官性状和物理指标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GB/T5750.4-2006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pH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玻璃电极法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感官性状和物理指标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GB/T5750.4-2006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大肠菌群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多管发酵法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微生物指标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GB/T5750.12-2006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细菌总数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平皿计数法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微生物指标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GB/T5750.12-2006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余氯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3.3`，5.5`-四甲基联苯胺比色法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消毒剂指标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GB/T5750.11-2006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总硬度（以CaCO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计）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乙二胺四乙酸二钠滴定法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感官性状和物理指标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GB/T5750.4-2006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氯化物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硝酸银容量法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离子色谱法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无机非金属指标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GB/T5750.5-2006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硝酸盐氮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离子色谱法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无机非金属指标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GB/T5750.5-2006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挥发酚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4-氨基安替吡啉三氯甲烷萃取分光光度法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感官性状和物理指标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GB/T5750.4-2006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氰化物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异烟酸-吡唑酮分光光度法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无机非金属指标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GB/T5750.5-2006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氢化物原子荧光法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金属指标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GB/T5750.6-2006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铬（六价）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二苯碳酰二肼分光光度法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金属指标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GB/T5750.6-2006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铁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原子吸收分光光度法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金属指标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GB/T5750.6-2006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原子吸收分光光度法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金属指标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GB/T5750.6-2006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铅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无火焰原子吸收分光光度法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火焰原子吸收分光光度法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金属指标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GB/T5750.6-2006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氨氮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纳氏试剂分光光度法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无机非金属指标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GB/T5750.5-2006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亚硝酸盐氮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离子色谱法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无机非金属指标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GB/T5750.5-2006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耗氧量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酸性高锰酸钾滴定法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生活饮用水标准检验方法  有机物综合指标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GB/T5750.7-2006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CF5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风云</cp:lastModifiedBy>
  <dcterms:modified xsi:type="dcterms:W3CDTF">2018-04-11T04:00:41Z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